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</w:r>
    </w:p>
    <w:p>
      <w:pPr>
        <w:pStyle w:val="Style16"/>
        <w:numPr>
          <w:ilvl w:val="0"/>
          <w:numId w:val="0"/>
        </w:numPr>
        <w:ind w:hanging="0"/>
        <w:jc w:val="center"/>
        <w:outlineLvl w:val="0"/>
        <w:rPr>
          <w:rStyle w:val="Style14"/>
          <w:b/>
          <w:b/>
          <w:sz w:val="28"/>
          <w:szCs w:val="28"/>
        </w:rPr>
      </w:pPr>
      <w:r>
        <w:rPr>
          <w:b/>
          <w:sz w:val="28"/>
          <w:szCs w:val="28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-13335</wp:posOffset>
            </wp:positionH>
            <wp:positionV relativeFrom="paragraph">
              <wp:posOffset>107950</wp:posOffset>
            </wp:positionV>
            <wp:extent cx="1343660" cy="1343660"/>
            <wp:effectExtent l="0" t="0" r="0" b="0"/>
            <wp:wrapSquare wrapText="largest"/>
            <wp:docPr id="1" name="Изображение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660" cy="1343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Style16"/>
        <w:numPr>
          <w:ilvl w:val="0"/>
          <w:numId w:val="0"/>
        </w:numPr>
        <w:ind w:hanging="0"/>
        <w:jc w:val="both"/>
        <w:outlineLvl w:val="0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</w:t>
      </w:r>
      <w:r>
        <w:rPr>
          <w:b/>
          <w:sz w:val="22"/>
          <w:szCs w:val="22"/>
        </w:rPr>
        <w:t>ПРЕСС-СЛУЖБА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  <w:r>
        <w:rPr>
          <w:b/>
          <w:sz w:val="22"/>
          <w:szCs w:val="22"/>
        </w:rPr>
        <w:t xml:space="preserve">ГОСУДАРСТВЕННОГО УЧРЕЖДЕНИЯ – ОТДЕЛЕНИЯ </w:t>
      </w:r>
    </w:p>
    <w:p>
      <w:pPr>
        <w:pStyle w:val="Style16"/>
        <w:ind w:hanging="0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>ПЕНСИОННОГО ФОНДА РФ ПО ВОЛГОГРАДСКОЙ ОБЛАСТИ</w:t>
      </w:r>
    </w:p>
    <w:p>
      <w:pPr>
        <w:pStyle w:val="Style20"/>
        <w:ind w:left="1622" w:right="0" w:firstLine="578"/>
        <w:jc w:val="center"/>
        <w:rPr>
          <w:b/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Style20"/>
        <w:ind w:left="1620" w:right="0" w:hanging="0"/>
        <w:jc w:val="center"/>
        <w:rPr>
          <w:b/>
          <w:b/>
          <w:bCs/>
          <w:sz w:val="28"/>
        </w:rPr>
      </w:pPr>
      <w:r>
        <w:rPr>
          <w:b/>
          <w:bCs/>
          <w:sz w:val="28"/>
        </w:rPr>
        <mc:AlternateContent>
          <mc:Choice Requires="wps">
            <w:drawing>
              <wp:anchor behindDoc="1" distT="0" distB="0" distL="114300" distR="114300" simplePos="0" locked="0" layoutInCell="1" allowOverlap="1" relativeHeight="3">
                <wp:simplePos x="0" y="0"/>
                <wp:positionH relativeFrom="column">
                  <wp:posOffset>-1090295</wp:posOffset>
                </wp:positionH>
                <wp:positionV relativeFrom="paragraph">
                  <wp:posOffset>114300</wp:posOffset>
                </wp:positionV>
                <wp:extent cx="6668770" cy="21590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668280" cy="1836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-85.9pt,8.35pt" to="439.1pt,9.75pt" stroked="t" style="position:absolute;flip:y">
                <v:stroke color="black" weight="57240" joinstyle="miter" endcap="flat"/>
                <v:fill o:detectmouseclick="t" on="false"/>
              </v:line>
            </w:pict>
          </mc:Fallback>
        </mc:AlternateContent>
      </w:r>
    </w:p>
    <w:p>
      <w:pPr>
        <w:pStyle w:val="Style20"/>
        <w:ind w:left="1622" w:right="0" w:hanging="0"/>
        <w:jc w:val="center"/>
        <w:rPr/>
      </w:pPr>
      <w:r>
        <w:rPr>
          <w:b/>
          <w:bCs/>
          <w:sz w:val="20"/>
          <w:szCs w:val="20"/>
        </w:rPr>
        <w:t>Официальный сайт Отделения ПФР по Волгоградской области –</w:t>
      </w:r>
      <w:r>
        <w:rPr>
          <w:b/>
          <w:bCs/>
          <w:sz w:val="20"/>
          <w:szCs w:val="20"/>
          <w:u w:val="single"/>
        </w:rPr>
        <w:t xml:space="preserve"> </w:t>
      </w:r>
      <w:hyperlink r:id="rId3">
        <w:r>
          <w:rPr>
            <w:rStyle w:val="Style11"/>
            <w:sz w:val="24"/>
            <w:szCs w:val="24"/>
            <w:lang w:val="en-US"/>
          </w:rPr>
          <w:t>pfr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gov</w:t>
        </w:r>
        <w:r>
          <w:rPr>
            <w:rStyle w:val="Style11"/>
            <w:sz w:val="24"/>
            <w:szCs w:val="24"/>
          </w:rPr>
          <w:t>.</w:t>
        </w:r>
        <w:r>
          <w:rPr>
            <w:rStyle w:val="Style11"/>
            <w:sz w:val="24"/>
            <w:szCs w:val="24"/>
            <w:lang w:val="en-US"/>
          </w:rPr>
          <w:t>ru</w:t>
        </w:r>
      </w:hyperlink>
    </w:p>
    <w:p>
      <w:pPr>
        <w:pStyle w:val="Style20"/>
        <w:ind w:left="1622" w:right="0" w:hanging="0"/>
        <w:jc w:val="center"/>
        <w:rPr>
          <w:sz w:val="24"/>
          <w:szCs w:val="24"/>
          <w:lang w:val="en-US"/>
        </w:rPr>
      </w:pPr>
      <w:r>
        <w:rPr/>
      </w:r>
    </w:p>
    <w:p>
      <w:pPr>
        <w:pStyle w:val="Style27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napToGrid w:val="false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ПФР и общественная организация  «Многодетный Волгоград»  </w:t>
      </w:r>
    </w:p>
    <w:p>
      <w:pPr>
        <w:pStyle w:val="Normal"/>
        <w:snapToGrid w:val="false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обсудили важнейшие вопросы назначения выплат на детей 8-17 лет</w:t>
      </w:r>
    </w:p>
    <w:p>
      <w:pPr>
        <w:pStyle w:val="Normal"/>
        <w:jc w:val="both"/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12"/>
          <w:szCs w:val="12"/>
        </w:rPr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</w:t>
      </w:r>
      <w:r>
        <w:rPr>
          <w:rFonts w:ascii="Times New Roman" w:hAnsi="Times New Roman"/>
          <w:sz w:val="28"/>
          <w:szCs w:val="28"/>
        </w:rPr>
        <w:t xml:space="preserve"> рамках кампании по новым выплатам семьям с детьми от 8 до 17 лет в отделении Пенсионного фонда по Волгоградской области состоялся прямой эфир в социальной сети «ВКонтакте» с участием заместителя управляющего отделением ПФР по Волгоградской области Натальей Магилиной и исполнительного директора общественной организации «Многодетный Волгоград» Анной Апаковой. 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Прошёл месяц со старта при</w:t>
      </w:r>
      <w:r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z w:val="28"/>
          <w:szCs w:val="28"/>
        </w:rPr>
        <w:t xml:space="preserve">ма заявлений на новое пособие для </w:t>
      </w:r>
      <w:r>
        <w:rPr>
          <w:rFonts w:ascii="Times New Roman" w:hAnsi="Times New Roman"/>
          <w:sz w:val="28"/>
          <w:szCs w:val="28"/>
        </w:rPr>
        <w:t>детей 8-17 лет</w:t>
      </w:r>
      <w:r>
        <w:rPr>
          <w:rFonts w:ascii="Times New Roman" w:hAnsi="Times New Roman"/>
          <w:sz w:val="28"/>
          <w:szCs w:val="28"/>
        </w:rPr>
        <w:t xml:space="preserve">.  За этот непродолжительный период родители почти </w:t>
      </w:r>
      <w:r>
        <w:rPr>
          <w:rFonts w:ascii="Times New Roman" w:hAnsi="Times New Roman"/>
          <w:b/>
          <w:bCs/>
          <w:sz w:val="28"/>
          <w:szCs w:val="28"/>
        </w:rPr>
        <w:t>60 тыс</w:t>
      </w:r>
      <w:r>
        <w:rPr>
          <w:rFonts w:ascii="Times New Roman" w:hAnsi="Times New Roman"/>
          <w:b/>
          <w:bCs/>
          <w:sz w:val="28"/>
          <w:szCs w:val="28"/>
        </w:rPr>
        <w:t>яч</w:t>
      </w:r>
      <w:r>
        <w:rPr>
          <w:rFonts w:ascii="Times New Roman" w:hAnsi="Times New Roman"/>
          <w:b/>
          <w:bCs/>
          <w:sz w:val="28"/>
          <w:szCs w:val="28"/>
        </w:rPr>
        <w:t xml:space="preserve"> волгоградских детей</w:t>
      </w:r>
      <w:r>
        <w:rPr>
          <w:rFonts w:ascii="Times New Roman" w:hAnsi="Times New Roman"/>
          <w:sz w:val="28"/>
          <w:szCs w:val="28"/>
        </w:rPr>
        <w:t xml:space="preserve"> получили выплату. 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В рамках живого диалога </w:t>
      </w:r>
      <w:r>
        <w:rPr>
          <w:rFonts w:ascii="Times New Roman" w:hAnsi="Times New Roman"/>
          <w:sz w:val="28"/>
          <w:szCs w:val="28"/>
        </w:rPr>
        <w:t>участники</w:t>
      </w:r>
      <w:r>
        <w:rPr>
          <w:rFonts w:ascii="Times New Roman" w:hAnsi="Times New Roman"/>
          <w:sz w:val="28"/>
          <w:szCs w:val="28"/>
        </w:rPr>
        <w:t xml:space="preserve"> эфира обсудили вопросы, касающиеся правильного заполнения заявления, в том числе, какие «галочки» обязательно нужно проставлять. </w:t>
      </w:r>
      <w:r>
        <w:rPr>
          <w:rFonts w:ascii="Times New Roman" w:hAnsi="Times New Roman"/>
          <w:sz w:val="28"/>
          <w:szCs w:val="28"/>
        </w:rPr>
        <w:t>Рассмотрели случаи, когда</w:t>
      </w:r>
      <w:r>
        <w:rPr>
          <w:rFonts w:ascii="Times New Roman" w:hAnsi="Times New Roman"/>
          <w:sz w:val="28"/>
          <w:szCs w:val="28"/>
        </w:rPr>
        <w:t xml:space="preserve"> заявителям </w:t>
      </w:r>
      <w:r>
        <w:rPr>
          <w:rFonts w:ascii="Times New Roman" w:hAnsi="Times New Roman"/>
          <w:sz w:val="28"/>
          <w:szCs w:val="28"/>
        </w:rPr>
        <w:t>необходимо лично</w:t>
      </w:r>
      <w:r>
        <w:rPr>
          <w:rFonts w:ascii="Times New Roman" w:hAnsi="Times New Roman"/>
          <w:sz w:val="28"/>
          <w:szCs w:val="28"/>
        </w:rPr>
        <w:t xml:space="preserve"> донести подтверждающие  документы, </w:t>
      </w:r>
      <w:r>
        <w:rPr>
          <w:rFonts w:ascii="Times New Roman" w:hAnsi="Times New Roman"/>
          <w:sz w:val="28"/>
          <w:szCs w:val="28"/>
        </w:rPr>
        <w:t xml:space="preserve">которые отсутствуют </w:t>
      </w:r>
      <w:r>
        <w:rPr>
          <w:rFonts w:ascii="Times New Roman" w:hAnsi="Times New Roman"/>
          <w:sz w:val="28"/>
          <w:szCs w:val="28"/>
        </w:rPr>
        <w:t>в доступе П</w:t>
      </w:r>
      <w:r>
        <w:rPr>
          <w:rFonts w:ascii="Times New Roman" w:hAnsi="Times New Roman"/>
          <w:sz w:val="28"/>
          <w:szCs w:val="28"/>
        </w:rPr>
        <w:t>енсионного фонда</w:t>
      </w:r>
      <w:r>
        <w:rPr>
          <w:rFonts w:ascii="Times New Roman" w:hAnsi="Times New Roman"/>
          <w:sz w:val="28"/>
          <w:szCs w:val="28"/>
        </w:rPr>
        <w:t xml:space="preserve">, а какие Отделение </w:t>
      </w:r>
      <w:r>
        <w:rPr>
          <w:rFonts w:ascii="Times New Roman" w:hAnsi="Times New Roman"/>
          <w:sz w:val="28"/>
          <w:szCs w:val="28"/>
        </w:rPr>
        <w:t>ПФР</w:t>
      </w:r>
      <w:r>
        <w:rPr>
          <w:rFonts w:ascii="Times New Roman" w:hAnsi="Times New Roman"/>
          <w:sz w:val="28"/>
          <w:szCs w:val="28"/>
        </w:rPr>
        <w:t xml:space="preserve"> самостоятельно запросит через систему межведомственного взаимодействия. </w:t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в ходе беседы были </w:t>
      </w:r>
      <w:r>
        <w:rPr>
          <w:rFonts w:ascii="Times New Roman" w:hAnsi="Times New Roman"/>
          <w:sz w:val="28"/>
          <w:szCs w:val="28"/>
        </w:rPr>
        <w:t>затронуты</w:t>
      </w:r>
      <w:r>
        <w:rPr>
          <w:rFonts w:ascii="Times New Roman" w:hAnsi="Times New Roman"/>
          <w:sz w:val="28"/>
          <w:szCs w:val="28"/>
        </w:rPr>
        <w:t xml:space="preserve"> как вопросы общего характера (сроки рассмотрения заявления и перечисления средств, что такое «правило нулевого дохода» и как </w:t>
      </w:r>
      <w:r>
        <w:rPr>
          <w:rFonts w:ascii="Times New Roman" w:hAnsi="Times New Roman"/>
          <w:sz w:val="28"/>
          <w:szCs w:val="28"/>
        </w:rPr>
        <w:t xml:space="preserve">оно </w:t>
      </w:r>
      <w:r>
        <w:rPr>
          <w:rFonts w:ascii="Times New Roman" w:hAnsi="Times New Roman"/>
          <w:sz w:val="28"/>
          <w:szCs w:val="28"/>
        </w:rPr>
        <w:t>работает, имущественный ценз), так и отдельные случаи из уже сложившейся практики  при</w:t>
      </w:r>
      <w:r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z w:val="28"/>
          <w:szCs w:val="28"/>
        </w:rPr>
        <w:t xml:space="preserve">ма заявлений. </w:t>
      </w:r>
      <w:r>
        <w:rPr>
          <w:rFonts w:ascii="Times New Roman" w:hAnsi="Times New Roman"/>
          <w:sz w:val="28"/>
          <w:szCs w:val="28"/>
        </w:rPr>
        <w:t xml:space="preserve">Обсудили участники и </w:t>
      </w:r>
      <w:r>
        <w:rPr>
          <w:rFonts w:ascii="Times New Roman" w:hAnsi="Times New Roman"/>
          <w:sz w:val="28"/>
          <w:szCs w:val="28"/>
        </w:rPr>
        <w:t xml:space="preserve">часто допускаемые ошибки заявителей  и способы, </w:t>
      </w:r>
      <w:r>
        <w:rPr>
          <w:rFonts w:ascii="Times New Roman" w:hAnsi="Times New Roman"/>
          <w:sz w:val="28"/>
          <w:szCs w:val="28"/>
        </w:rPr>
        <w:t>как</w:t>
      </w:r>
      <w:r>
        <w:rPr>
          <w:rFonts w:ascii="Times New Roman" w:hAnsi="Times New Roman"/>
          <w:sz w:val="28"/>
          <w:szCs w:val="28"/>
        </w:rPr>
        <w:t xml:space="preserve"> их избежать.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  <w:sz w:val="28"/>
          <w:szCs w:val="28"/>
          <w:lang w:val="en-US"/>
        </w:rPr>
        <w:tab/>
        <w:t xml:space="preserve">Напоминаем: подробную информацию о новом пособии на детей от 8 до 17 лет </w:t>
      </w:r>
      <w:r>
        <w:rPr>
          <w:rFonts w:cs="Times New Roman" w:ascii="Times New Roman" w:hAnsi="Times New Roman"/>
          <w:sz w:val="28"/>
          <w:szCs w:val="28"/>
          <w:lang w:val="ru-RU"/>
        </w:rPr>
        <w:t>для семей с небольшим доходом</w:t>
      </w:r>
      <w:r>
        <w:rPr>
          <w:rFonts w:cs="Times New Roman" w:ascii="Times New Roman" w:hAnsi="Times New Roman"/>
          <w:sz w:val="28"/>
          <w:szCs w:val="28"/>
          <w:lang w:val="en-US"/>
        </w:rPr>
        <w:t xml:space="preserve"> можно посмотреть в специальном разделе н</w:t>
      </w:r>
      <w:r>
        <w:rPr>
          <w:rFonts w:cs="Times New Roman" w:ascii="Times New Roman" w:hAnsi="Times New Roman"/>
          <w:sz w:val="28"/>
          <w:szCs w:val="28"/>
          <w:lang w:val="ru-RU"/>
        </w:rPr>
        <w:t>а</w:t>
      </w:r>
      <w:r>
        <w:rPr>
          <w:rFonts w:cs="Times New Roman" w:ascii="Times New Roman" w:hAnsi="Times New Roman"/>
          <w:sz w:val="28"/>
          <w:szCs w:val="28"/>
          <w:lang w:val="en-US"/>
        </w:rPr>
        <w:t xml:space="preserve"> сайте ПФР: </w:t>
      </w:r>
      <w:hyperlink r:id="rId4">
        <w:r>
          <w:rPr>
            <w:rStyle w:val="Style11"/>
            <w:rFonts w:cs="Times New Roman" w:ascii="Times New Roman" w:hAnsi="Times New Roman"/>
            <w:sz w:val="28"/>
            <w:szCs w:val="28"/>
          </w:rPr>
          <w:t>https://pfr.gov.ru/grazhdanam/8_to_17_years</w:t>
        </w:r>
      </w:hyperlink>
      <w:hyperlink r:id="rId5">
        <w:r>
          <w:rPr>
            <w:rStyle w:val="Style11"/>
            <w:rFonts w:cs="Times New Roman" w:ascii="Times New Roman" w:hAnsi="Times New Roman"/>
            <w:sz w:val="28"/>
            <w:szCs w:val="28"/>
          </w:rPr>
          <w:t xml:space="preserve">. </w:t>
        </w:r>
      </w:hyperlink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Calibri">
    <w:charset w:val="cc"/>
    <w:family w:val="swiss"/>
    <w:pitch w:val="variable"/>
  </w:font>
  <w:font w:name="Times New Roman">
    <w:charset w:val="cc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paragraph" w:styleId="Style27">
    <w:name w:val="Без интервала"/>
    <w:qFormat/>
    <w:pPr>
      <w:widowControl/>
    </w:pPr>
    <w:rPr>
      <w:rFonts w:ascii="Calibri" w:hAnsi="Calibri" w:eastAsia="Calibri" w:cs="Calibri"/>
      <w:color w:val="auto"/>
      <w:sz w:val="22"/>
      <w:szCs w:val="22"/>
      <w:lang w:val="ru-RU" w:bidi="ar-SA" w:eastAsia="zh-C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hyperlink" Target="http://www.pfrf.ru/" TargetMode="External"/><Relationship Id="rId4" Type="http://schemas.openxmlformats.org/officeDocument/2006/relationships/hyperlink" Target="https://pfr.gov.ru/grazhdanam/8_to_17_years" TargetMode="External"/><Relationship Id="rId5" Type="http://schemas.openxmlformats.org/officeDocument/2006/relationships/hyperlink" Target="" TargetMode="External"/><Relationship Id="rId6" Type="http://schemas.openxmlformats.org/officeDocument/2006/relationships/fontTable" Target="fontTable.xml"/><Relationship Id="rId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42</TotalTime>
  <Application>LibreOffice/5.0.4.2$Windows_x86 LibreOffice_project/2b9802c1994aa0b7dc6079e128979269cf95bc78</Application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cp:lastPrinted>2019-01-21T14:47:01Z</cp:lastPrinted>
  <dcterms:modified xsi:type="dcterms:W3CDTF">2022-06-02T12:15:17Z</dcterms:modified>
  <cp:revision>128</cp:revision>
</cp:coreProperties>
</file>